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D05" w:rsidRPr="00D43D05" w:rsidRDefault="00D43D05" w:rsidP="00D43D05">
      <w:pPr>
        <w:shd w:val="clear" w:color="auto" w:fill="FFFFFF"/>
        <w:spacing w:after="0" w:line="300" w:lineRule="atLeast"/>
        <w:textAlignment w:val="baseline"/>
        <w:outlineLvl w:val="0"/>
        <w:rPr>
          <w:rFonts w:ascii="Arial" w:eastAsia="Times New Roman" w:hAnsi="Arial" w:cs="Arial"/>
          <w:color w:val="303030"/>
          <w:kern w:val="36"/>
          <w:sz w:val="41"/>
          <w:szCs w:val="41"/>
          <w:lang w:eastAsia="en-CA"/>
        </w:rPr>
      </w:pPr>
      <w:bookmarkStart w:id="0" w:name="_GoBack"/>
      <w:bookmarkEnd w:id="0"/>
      <w:r w:rsidRPr="00D43D05">
        <w:rPr>
          <w:rFonts w:ascii="Arial" w:eastAsia="Times New Roman" w:hAnsi="Arial" w:cs="Arial"/>
          <w:color w:val="303030"/>
          <w:kern w:val="36"/>
          <w:sz w:val="41"/>
          <w:szCs w:val="41"/>
          <w:lang w:eastAsia="en-CA"/>
        </w:rPr>
        <w:t>Art and Science of Teaching / Writing to Learn</w:t>
      </w:r>
    </w:p>
    <w:p w:rsidR="00D43D05" w:rsidRDefault="00D43D05" w:rsidP="00D43D05">
      <w:pPr>
        <w:shd w:val="clear" w:color="auto" w:fill="FFFFFF"/>
        <w:spacing w:after="0" w:line="348" w:lineRule="atLeast"/>
        <w:textAlignment w:val="baseline"/>
        <w:rPr>
          <w:rFonts w:ascii="Arial" w:eastAsia="Times New Roman" w:hAnsi="Arial" w:cs="Arial"/>
          <w:i/>
          <w:iCs/>
          <w:color w:val="000000"/>
          <w:sz w:val="20"/>
          <w:szCs w:val="20"/>
          <w:lang w:eastAsia="en-CA"/>
        </w:rPr>
      </w:pPr>
      <w:r w:rsidRPr="00D43D05">
        <w:rPr>
          <w:rFonts w:ascii="Arial" w:eastAsia="Times New Roman" w:hAnsi="Arial" w:cs="Arial"/>
          <w:i/>
          <w:iCs/>
          <w:color w:val="000000"/>
          <w:sz w:val="20"/>
          <w:szCs w:val="20"/>
          <w:lang w:eastAsia="en-CA"/>
        </w:rPr>
        <w:t>Robert J. Marzano</w:t>
      </w:r>
    </w:p>
    <w:p w:rsidR="00D43D05" w:rsidRPr="00D43D05" w:rsidRDefault="00D43D05" w:rsidP="00D43D05">
      <w:pPr>
        <w:shd w:val="clear" w:color="auto" w:fill="FFFFFF"/>
        <w:spacing w:after="0" w:line="348" w:lineRule="atLeast"/>
        <w:textAlignment w:val="baseline"/>
        <w:rPr>
          <w:rFonts w:ascii="Arial" w:eastAsia="Times New Roman" w:hAnsi="Arial" w:cs="Arial"/>
          <w:i/>
          <w:iCs/>
          <w:color w:val="000000"/>
          <w:sz w:val="20"/>
          <w:szCs w:val="20"/>
          <w:lang w:eastAsia="en-CA"/>
        </w:rPr>
      </w:pPr>
    </w:p>
    <w:p w:rsidR="00D43D05" w:rsidRDefault="00D43D05" w:rsidP="00D43D05">
      <w:pPr>
        <w:shd w:val="clear" w:color="auto" w:fill="FFFFFF"/>
        <w:spacing w:after="0" w:line="348" w:lineRule="atLeast"/>
        <w:textAlignment w:val="baseline"/>
        <w:rPr>
          <w:rFonts w:ascii="Arial" w:eastAsia="Times New Roman" w:hAnsi="Arial" w:cs="Arial"/>
          <w:b/>
          <w:bCs/>
          <w:color w:val="666666"/>
          <w:sz w:val="23"/>
          <w:szCs w:val="23"/>
          <w:lang w:eastAsia="en-CA"/>
        </w:rPr>
        <w:sectPr w:rsidR="00D43D05" w:rsidSect="00D43D05">
          <w:pgSz w:w="12240" w:h="15840"/>
          <w:pgMar w:top="567" w:right="1440" w:bottom="993" w:left="1440" w:header="708" w:footer="708" w:gutter="0"/>
          <w:cols w:space="708"/>
          <w:docGrid w:linePitch="360"/>
        </w:sectPr>
      </w:pPr>
    </w:p>
    <w:p w:rsidR="00D43D05" w:rsidRPr="00D43D05" w:rsidRDefault="00D43D05" w:rsidP="00D43D05">
      <w:pPr>
        <w:shd w:val="clear" w:color="auto" w:fill="FFFFFF"/>
        <w:spacing w:after="0" w:line="348" w:lineRule="atLeast"/>
        <w:textAlignment w:val="baseline"/>
        <w:rPr>
          <w:rFonts w:ascii="Arial" w:eastAsia="Times New Roman" w:hAnsi="Arial" w:cs="Arial"/>
          <w:b/>
          <w:bCs/>
          <w:color w:val="666666"/>
          <w:lang w:eastAsia="en-CA"/>
        </w:rPr>
      </w:pPr>
      <w:r w:rsidRPr="00D43D05">
        <w:rPr>
          <w:rFonts w:ascii="Arial" w:eastAsia="Times New Roman" w:hAnsi="Arial" w:cs="Arial"/>
          <w:b/>
          <w:bCs/>
          <w:color w:val="666666"/>
          <w:lang w:eastAsia="en-CA"/>
        </w:rPr>
        <w:t>Writing to learn focuses on deepening understanding and improving retention of content.</w:t>
      </w:r>
    </w:p>
    <w:p w:rsidR="00D43D05" w:rsidRPr="00D43D05" w:rsidRDefault="00D43D05" w:rsidP="00D43D05">
      <w:pPr>
        <w:shd w:val="clear" w:color="auto" w:fill="FFFFFF"/>
        <w:spacing w:after="0" w:line="348" w:lineRule="atLeast"/>
        <w:textAlignment w:val="baseline"/>
        <w:rPr>
          <w:rFonts w:ascii="Arial" w:eastAsia="Times New Roman" w:hAnsi="Arial" w:cs="Arial"/>
          <w:b/>
          <w:bCs/>
          <w:color w:val="666666"/>
          <w:lang w:eastAsia="en-CA"/>
        </w:rPr>
      </w:pP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The concept of writing across the curriculum is commonly credited to James Britton (1970, 1972). The logic behind the assumption that writing should be integral to instruction in all subject areas is that writing is fundamentally a constructive process of encoding new information. The act of translating experience into a personalized account aids and extends learning.</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 xml:space="preserve">One manifestation of this approach is writing to learn (see Applebee, 1984; </w:t>
      </w:r>
      <w:proofErr w:type="spellStart"/>
      <w:r w:rsidRPr="00D43D05">
        <w:rPr>
          <w:rFonts w:ascii="Arial" w:eastAsia="Times New Roman" w:hAnsi="Arial" w:cs="Arial"/>
          <w:color w:val="000000"/>
          <w:lang w:eastAsia="en-CA"/>
        </w:rPr>
        <w:t>Beutlier</w:t>
      </w:r>
      <w:proofErr w:type="spellEnd"/>
      <w:r w:rsidRPr="00D43D05">
        <w:rPr>
          <w:rFonts w:ascii="Arial" w:eastAsia="Times New Roman" w:hAnsi="Arial" w:cs="Arial"/>
          <w:color w:val="000000"/>
          <w:lang w:eastAsia="en-CA"/>
        </w:rPr>
        <w:t>, 1988; Beyer, 1980; Murray, 1984). Writing to learn focuses on deepening understanding and improving retention of content. The writing activities, which typically are short and informal, resemble an advanced form of note taking.</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1"/>
        <w:rPr>
          <w:rFonts w:ascii="Arial" w:eastAsia="Times New Roman" w:hAnsi="Arial" w:cs="Arial"/>
          <w:b/>
          <w:bCs/>
          <w:color w:val="393939"/>
          <w:lang w:eastAsia="en-CA"/>
        </w:rPr>
      </w:pPr>
      <w:r w:rsidRPr="00D43D05">
        <w:rPr>
          <w:rFonts w:ascii="Arial" w:eastAsia="Times New Roman" w:hAnsi="Arial" w:cs="Arial"/>
          <w:b/>
          <w:bCs/>
          <w:color w:val="393939"/>
          <w:lang w:eastAsia="en-CA"/>
        </w:rPr>
        <w:t>Five Phases for Understanding</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As a result of observing teachers employing writing-to-learn activities, I've identified five phases that can improve students' understanding and retention of content.</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t>Phase 1: Record</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 xml:space="preserve">Here, students record their understanding of the content. For example, immediately after showing students a video clip on heredity, a middle school teacher would ask the students to record what they've learned in their notebooks (or using an electronic device, if students take their notes that </w:t>
      </w:r>
      <w:r w:rsidRPr="00D43D05">
        <w:rPr>
          <w:rFonts w:ascii="Arial" w:eastAsia="Times New Roman" w:hAnsi="Arial" w:cs="Arial"/>
          <w:color w:val="000000"/>
          <w:lang w:eastAsia="en-CA"/>
        </w:rPr>
        <w:t>way). This phase is geared toward summarization. Although students are asked to write in complete sentences, there's no emphasis on punctuation, spelling, or grammar. Students produce a rough first draft.</w:t>
      </w:r>
    </w:p>
    <w:p w:rsid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Teachers can enhance the recording phase by encouraging students to include graphic representations or sketches. This is particularly beneficial for English language learners, who might struggle with expressing their ideas in writing, and for students in the primary grades.</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t>Phase 2: Compare</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In this phase, students share what they've recorded with a partner, noting what's similar and different between their two recordings. Similar content indicates that both students have identified the same information. Different content indicates either that one student noticed important content that the other did not or that one or both students were confused about some aspects of the content.</w:t>
      </w:r>
    </w:p>
    <w:p w:rsid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During this phase, the teacher walks around the classroom answering questions from student pairs and clearing up confusion and misconceptions. If the teacher notices that a number of students are confused about specific topics, he or she addresses the issue with the whole class before passing on to the next phase.</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t>Phase 3: Revise</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 xml:space="preserve">This phase occurs right after the comparison phase, although a teacher </w:t>
      </w:r>
      <w:r w:rsidRPr="00D43D05">
        <w:rPr>
          <w:rFonts w:ascii="Arial" w:eastAsia="Times New Roman" w:hAnsi="Arial" w:cs="Arial"/>
          <w:color w:val="000000"/>
          <w:lang w:eastAsia="en-CA"/>
        </w:rPr>
        <w:lastRenderedPageBreak/>
        <w:t>might assign it as homework instead. Here, students create a more complete and polished version of what they wrote during the recording phase. This version is more complete because students have had the benefit of conferring with a partner and having the teacher clear up confusion and misconceptions. This version is also more polished because as students revise their initial draft, they are asked to pay more attention to punctuation, spelling, and grammar.</w:t>
      </w:r>
    </w:p>
    <w:p w:rsid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The record–compare–revise (R–C–R) cycle can occur several times during a unit or related set of lessons. For example, a teacher might have students engage in the R–C–R cycle after watching a short video on the first day of the unit. A few days later, the teacher might present new content on the same topic in a brief lecture and demonstration and ask the students to go through the cycle again to process this new information. The following week, the teacher might have students gather information from sources on the Internet on the topic and then engage once more in the R–C–R cycle. After several cycles, students are ready for the next phase.</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t>Phase 4: Combine</w:t>
      </w:r>
    </w:p>
    <w:p w:rsid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 xml:space="preserve">Here, students combine the products of the R–C–R cycles they've completed and then generate and defend one or more generalizations. Students must support their generalizations using specific evidence. For </w:t>
      </w:r>
      <w:r w:rsidRPr="00D43D05">
        <w:rPr>
          <w:rFonts w:ascii="Arial" w:eastAsia="Times New Roman" w:hAnsi="Arial" w:cs="Arial"/>
          <w:color w:val="000000"/>
          <w:lang w:eastAsia="en-CA"/>
        </w:rPr>
        <w:t>example, as a result of examining what she wrote in various R–C–R cycles, a student in a health education class might generate the following generalization about diet: "Proper diet is a balancing act between the amount of energy you expend in a day and the amount of calories you take in." The student would support this generalization using specific facts from her notes. This part of the process could work as a class presentation or be part of a class discussion.</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t>Phase 5: Review</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This last phase always occurs before an assessment, although a teacher could request it at any time. Here, students read over the generalizations they produced in the combine phase and the summaries they wrote during the R–C–R cycles. Students can do this independently or in groups. Although students might generate new questions that the teacher could address in a whole-class or small-group environment, the primary focus is on providing students with a comprehensive and targeted review of all the content that will be on the assessment.</w:t>
      </w:r>
    </w:p>
    <w:p w:rsidR="00D43D05" w:rsidRPr="00D43D05" w:rsidRDefault="00D43D05" w:rsidP="00D43D05">
      <w:pPr>
        <w:shd w:val="clear" w:color="auto" w:fill="FFFFFF"/>
        <w:spacing w:after="0" w:line="300" w:lineRule="atLeast"/>
        <w:textAlignment w:val="baseline"/>
        <w:outlineLvl w:val="1"/>
        <w:rPr>
          <w:rFonts w:ascii="Arial" w:eastAsia="Times New Roman" w:hAnsi="Arial" w:cs="Arial"/>
          <w:b/>
          <w:bCs/>
          <w:color w:val="393939"/>
          <w:lang w:eastAsia="en-CA"/>
        </w:rPr>
      </w:pPr>
      <w:r w:rsidRPr="00D43D05">
        <w:rPr>
          <w:rFonts w:ascii="Arial" w:eastAsia="Times New Roman" w:hAnsi="Arial" w:cs="Arial"/>
          <w:b/>
          <w:bCs/>
          <w:color w:val="393939"/>
          <w:lang w:eastAsia="en-CA"/>
        </w:rPr>
        <w:t>A Formula That Works</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This five-phase strategy for writing to learn can be quite helpful to teachers. Although formulaic, it does ensure that students adequately encode, revise, aggregate, and review important information that has been the focus of instruction.</w:t>
      </w: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sectPr w:rsidR="00D43D05" w:rsidRPr="00D43D05" w:rsidSect="00D43D05">
          <w:type w:val="continuous"/>
          <w:pgSz w:w="12240" w:h="15840"/>
          <w:pgMar w:top="1440" w:right="1440" w:bottom="1440" w:left="1440" w:header="708" w:footer="708" w:gutter="0"/>
          <w:cols w:num="2" w:space="708"/>
          <w:docGrid w:linePitch="360"/>
        </w:sectPr>
      </w:pPr>
    </w:p>
    <w:p w:rsid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p>
    <w:p w:rsid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p>
    <w:p w:rsidR="00D43D05" w:rsidRPr="00D43D05" w:rsidRDefault="00D43D05" w:rsidP="00D43D05">
      <w:pPr>
        <w:shd w:val="clear" w:color="auto" w:fill="FFFFFF"/>
        <w:spacing w:after="0" w:line="300" w:lineRule="atLeast"/>
        <w:textAlignment w:val="baseline"/>
        <w:outlineLvl w:val="2"/>
        <w:rPr>
          <w:rFonts w:ascii="Arial" w:eastAsia="Times New Roman" w:hAnsi="Arial" w:cs="Arial"/>
          <w:b/>
          <w:bCs/>
          <w:color w:val="393939"/>
          <w:lang w:eastAsia="en-CA"/>
        </w:rPr>
      </w:pPr>
      <w:r w:rsidRPr="00D43D05">
        <w:rPr>
          <w:rFonts w:ascii="Arial" w:eastAsia="Times New Roman" w:hAnsi="Arial" w:cs="Arial"/>
          <w:b/>
          <w:bCs/>
          <w:color w:val="393939"/>
          <w:lang w:eastAsia="en-CA"/>
        </w:rPr>
        <w:lastRenderedPageBreak/>
        <w:t>References</w:t>
      </w:r>
    </w:p>
    <w:p w:rsid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Applebee, A. N. (1984). Writing and reasoning. </w:t>
      </w:r>
      <w:r w:rsidRPr="00D43D05">
        <w:rPr>
          <w:rFonts w:ascii="Arial" w:eastAsia="Times New Roman" w:hAnsi="Arial" w:cs="Arial"/>
          <w:i/>
          <w:iCs/>
          <w:color w:val="000000"/>
          <w:bdr w:val="none" w:sz="0" w:space="0" w:color="auto" w:frame="1"/>
          <w:lang w:eastAsia="en-CA"/>
        </w:rPr>
        <w:t>Review of Educational Research, 54</w:t>
      </w:r>
      <w:r w:rsidRPr="00D43D05">
        <w:rPr>
          <w:rFonts w:ascii="Arial" w:eastAsia="Times New Roman" w:hAnsi="Arial" w:cs="Arial"/>
          <w:color w:val="000000"/>
          <w:lang w:eastAsia="en-CA"/>
        </w:rPr>
        <w:t>(4), 577–596.</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proofErr w:type="spellStart"/>
      <w:r w:rsidRPr="00D43D05">
        <w:rPr>
          <w:rFonts w:ascii="Arial" w:eastAsia="Times New Roman" w:hAnsi="Arial" w:cs="Arial"/>
          <w:color w:val="000000"/>
          <w:lang w:eastAsia="en-CA"/>
        </w:rPr>
        <w:t>Beutlier</w:t>
      </w:r>
      <w:proofErr w:type="spellEnd"/>
      <w:r w:rsidRPr="00D43D05">
        <w:rPr>
          <w:rFonts w:ascii="Arial" w:eastAsia="Times New Roman" w:hAnsi="Arial" w:cs="Arial"/>
          <w:color w:val="000000"/>
          <w:lang w:eastAsia="en-CA"/>
        </w:rPr>
        <w:t>, S. A. (1988). Using writing to learn about astronomy. </w:t>
      </w:r>
      <w:r w:rsidRPr="00D43D05">
        <w:rPr>
          <w:rFonts w:ascii="Arial" w:eastAsia="Times New Roman" w:hAnsi="Arial" w:cs="Arial"/>
          <w:i/>
          <w:iCs/>
          <w:color w:val="000000"/>
          <w:bdr w:val="none" w:sz="0" w:space="0" w:color="auto" w:frame="1"/>
          <w:lang w:eastAsia="en-CA"/>
        </w:rPr>
        <w:t>Reading Teacher, 41</w:t>
      </w:r>
      <w:r w:rsidRPr="00D43D05">
        <w:rPr>
          <w:rFonts w:ascii="Arial" w:eastAsia="Times New Roman" w:hAnsi="Arial" w:cs="Arial"/>
          <w:color w:val="000000"/>
          <w:lang w:eastAsia="en-CA"/>
        </w:rPr>
        <w:t>(4), 412–417.</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Beyer, B. K. (1980). Using writing to learn in history. </w:t>
      </w:r>
      <w:r w:rsidRPr="00D43D05">
        <w:rPr>
          <w:rFonts w:ascii="Arial" w:eastAsia="Times New Roman" w:hAnsi="Arial" w:cs="Arial"/>
          <w:i/>
          <w:iCs/>
          <w:color w:val="000000"/>
          <w:bdr w:val="none" w:sz="0" w:space="0" w:color="auto" w:frame="1"/>
          <w:lang w:eastAsia="en-CA"/>
        </w:rPr>
        <w:t>History Teacher, 13</w:t>
      </w:r>
      <w:r w:rsidRPr="00D43D05">
        <w:rPr>
          <w:rFonts w:ascii="Arial" w:eastAsia="Times New Roman" w:hAnsi="Arial" w:cs="Arial"/>
          <w:color w:val="000000"/>
          <w:lang w:eastAsia="en-CA"/>
        </w:rPr>
        <w:t>(2), 167–178.</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Britton, J. (1970). </w:t>
      </w:r>
      <w:r w:rsidRPr="00D43D05">
        <w:rPr>
          <w:rFonts w:ascii="Arial" w:eastAsia="Times New Roman" w:hAnsi="Arial" w:cs="Arial"/>
          <w:i/>
          <w:iCs/>
          <w:color w:val="000000"/>
          <w:bdr w:val="none" w:sz="0" w:space="0" w:color="auto" w:frame="1"/>
          <w:lang w:eastAsia="en-CA"/>
        </w:rPr>
        <w:t>Language and learning</w:t>
      </w:r>
      <w:r w:rsidRPr="00D43D05">
        <w:rPr>
          <w:rFonts w:ascii="Arial" w:eastAsia="Times New Roman" w:hAnsi="Arial" w:cs="Arial"/>
          <w:color w:val="000000"/>
          <w:lang w:eastAsia="en-CA"/>
        </w:rPr>
        <w:t>. New York: Penguin.</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Britton, J. N. (1972). </w:t>
      </w:r>
      <w:r w:rsidRPr="00D43D05">
        <w:rPr>
          <w:rFonts w:ascii="Arial" w:eastAsia="Times New Roman" w:hAnsi="Arial" w:cs="Arial"/>
          <w:i/>
          <w:iCs/>
          <w:color w:val="000000"/>
          <w:bdr w:val="none" w:sz="0" w:space="0" w:color="auto" w:frame="1"/>
          <w:lang w:eastAsia="en-CA"/>
        </w:rPr>
        <w:t>Writing to learn and learning to write</w:t>
      </w:r>
      <w:r w:rsidRPr="00D43D05">
        <w:rPr>
          <w:rFonts w:ascii="Arial" w:eastAsia="Times New Roman" w:hAnsi="Arial" w:cs="Arial"/>
          <w:color w:val="000000"/>
          <w:lang w:eastAsia="en-CA"/>
        </w:rPr>
        <w:t>. Urbana, IL: National Council of Teachers of English.</w:t>
      </w:r>
    </w:p>
    <w:p w:rsidR="00D43D05" w:rsidRPr="00D43D05" w:rsidRDefault="00D43D05" w:rsidP="00D43D05">
      <w:pPr>
        <w:shd w:val="clear" w:color="auto" w:fill="FFFFFF"/>
        <w:spacing w:after="0" w:line="348" w:lineRule="atLeast"/>
        <w:textAlignment w:val="baseline"/>
        <w:rPr>
          <w:rFonts w:ascii="Arial" w:eastAsia="Times New Roman" w:hAnsi="Arial" w:cs="Arial"/>
          <w:color w:val="000000"/>
          <w:lang w:eastAsia="en-CA"/>
        </w:rPr>
      </w:pPr>
      <w:r w:rsidRPr="00D43D05">
        <w:rPr>
          <w:rFonts w:ascii="Arial" w:eastAsia="Times New Roman" w:hAnsi="Arial" w:cs="Arial"/>
          <w:color w:val="000000"/>
          <w:lang w:eastAsia="en-CA"/>
        </w:rPr>
        <w:t>Murray, D. M. (1984). </w:t>
      </w:r>
      <w:r w:rsidRPr="00D43D05">
        <w:rPr>
          <w:rFonts w:ascii="Arial" w:eastAsia="Times New Roman" w:hAnsi="Arial" w:cs="Arial"/>
          <w:i/>
          <w:iCs/>
          <w:color w:val="000000"/>
          <w:bdr w:val="none" w:sz="0" w:space="0" w:color="auto" w:frame="1"/>
          <w:lang w:eastAsia="en-CA"/>
        </w:rPr>
        <w:t>Write to learn</w:t>
      </w:r>
      <w:r w:rsidRPr="00D43D05">
        <w:rPr>
          <w:rFonts w:ascii="Arial" w:eastAsia="Times New Roman" w:hAnsi="Arial" w:cs="Arial"/>
          <w:color w:val="000000"/>
          <w:lang w:eastAsia="en-CA"/>
        </w:rPr>
        <w:t>. New York: Holt.</w:t>
      </w:r>
    </w:p>
    <w:p w:rsidR="00D43D05" w:rsidRDefault="00D43D05" w:rsidP="00D43D05">
      <w:pPr>
        <w:shd w:val="clear" w:color="auto" w:fill="FFFFFF"/>
        <w:spacing w:after="0" w:line="348" w:lineRule="atLeast"/>
        <w:textAlignment w:val="baseline"/>
        <w:rPr>
          <w:rFonts w:ascii="Arial" w:eastAsia="Times New Roman" w:hAnsi="Arial" w:cs="Arial"/>
          <w:color w:val="333333"/>
          <w:lang w:eastAsia="en-CA"/>
        </w:rPr>
      </w:pPr>
    </w:p>
    <w:p w:rsidR="00D43D05" w:rsidRPr="00D43D05" w:rsidRDefault="003E26EE" w:rsidP="00D43D05">
      <w:pPr>
        <w:shd w:val="clear" w:color="auto" w:fill="FFFFFF"/>
        <w:spacing w:after="0" w:line="348" w:lineRule="atLeast"/>
        <w:textAlignment w:val="baseline"/>
        <w:rPr>
          <w:rFonts w:ascii="Arial" w:eastAsia="Times New Roman" w:hAnsi="Arial" w:cs="Arial"/>
          <w:color w:val="333333"/>
          <w:lang w:eastAsia="en-CA"/>
        </w:rPr>
      </w:pPr>
      <w:hyperlink r:id="rId4" w:history="1">
        <w:r w:rsidR="00D43D05" w:rsidRPr="00D43D05">
          <w:rPr>
            <w:rFonts w:ascii="Arial" w:eastAsia="Times New Roman" w:hAnsi="Arial" w:cs="Arial"/>
            <w:color w:val="739501"/>
            <w:lang w:eastAsia="en-CA"/>
          </w:rPr>
          <w:t>Robert J. Marzano</w:t>
        </w:r>
      </w:hyperlink>
      <w:r w:rsidR="00D43D05" w:rsidRPr="00D43D05">
        <w:rPr>
          <w:rFonts w:ascii="Arial" w:eastAsia="Times New Roman" w:hAnsi="Arial" w:cs="Arial"/>
          <w:color w:val="333333"/>
          <w:lang w:eastAsia="en-CA"/>
        </w:rPr>
        <w:t> is cofounder and CEO of Marzano Research Laboratory in Denver, Colorado. He is the author of </w:t>
      </w:r>
      <w:hyperlink r:id="rId5" w:history="1">
        <w:r w:rsidR="00D43D05" w:rsidRPr="00D43D05">
          <w:rPr>
            <w:rFonts w:ascii="Arial" w:eastAsia="Times New Roman" w:hAnsi="Arial" w:cs="Arial"/>
            <w:i/>
            <w:iCs/>
            <w:color w:val="739501"/>
            <w:lang w:eastAsia="en-CA"/>
          </w:rPr>
          <w:t>The Art and Science of Teaching</w:t>
        </w:r>
      </w:hyperlink>
      <w:r w:rsidR="00D43D05" w:rsidRPr="00D43D05">
        <w:rPr>
          <w:rFonts w:ascii="Arial" w:eastAsia="Times New Roman" w:hAnsi="Arial" w:cs="Arial"/>
          <w:color w:val="333333"/>
          <w:lang w:eastAsia="en-CA"/>
        </w:rPr>
        <w:t> (ASCD, 2007) and coauthor, with Tony Frontier and David Livingston, of </w:t>
      </w:r>
      <w:hyperlink r:id="rId6" w:history="1">
        <w:r w:rsidR="00D43D05" w:rsidRPr="00D43D05">
          <w:rPr>
            <w:rFonts w:ascii="Arial" w:eastAsia="Times New Roman" w:hAnsi="Arial" w:cs="Arial"/>
            <w:i/>
            <w:iCs/>
            <w:color w:val="739501"/>
            <w:lang w:eastAsia="en-CA"/>
          </w:rPr>
          <w:t>Effective Supervision: Supporting the Art and Science of Teaching</w:t>
        </w:r>
      </w:hyperlink>
      <w:r w:rsidR="00D43D05" w:rsidRPr="00D43D05">
        <w:rPr>
          <w:rFonts w:ascii="Arial" w:eastAsia="Times New Roman" w:hAnsi="Arial" w:cs="Arial"/>
          <w:color w:val="333333"/>
          <w:lang w:eastAsia="en-CA"/>
        </w:rPr>
        <w:t> (ASCD, 2011).</w:t>
      </w:r>
    </w:p>
    <w:p w:rsidR="00E75028" w:rsidRDefault="00E75028"/>
    <w:p w:rsidR="00D43D05" w:rsidRPr="00D43D05" w:rsidRDefault="00D43D05">
      <w:r>
        <w:t xml:space="preserve">Source: </w:t>
      </w:r>
      <w:r w:rsidRPr="00D43D05">
        <w:t>http://www.ascd.org/publications/educational-leadership/feb12/vol69/num05/Writing-to-Learn.aspx</w:t>
      </w:r>
    </w:p>
    <w:sectPr w:rsidR="00D43D05" w:rsidRPr="00D43D05" w:rsidSect="00D43D05">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D05"/>
    <w:rsid w:val="003E26EE"/>
    <w:rsid w:val="00D43D05"/>
    <w:rsid w:val="00E7502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A90D30-663A-4CC6-8190-77B67AD1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028"/>
  </w:style>
  <w:style w:type="paragraph" w:styleId="Heading1">
    <w:name w:val="heading 1"/>
    <w:basedOn w:val="Normal"/>
    <w:link w:val="Heading1Char"/>
    <w:uiPriority w:val="9"/>
    <w:qFormat/>
    <w:rsid w:val="00D43D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D43D05"/>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D43D05"/>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D05"/>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D43D05"/>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D43D05"/>
    <w:rPr>
      <w:rFonts w:ascii="Times New Roman" w:eastAsia="Times New Roman" w:hAnsi="Times New Roman" w:cs="Times New Roman"/>
      <w:b/>
      <w:bCs/>
      <w:sz w:val="27"/>
      <w:szCs w:val="27"/>
      <w:lang w:eastAsia="en-CA"/>
    </w:rPr>
  </w:style>
  <w:style w:type="paragraph" w:customStyle="1" w:styleId="author">
    <w:name w:val="author"/>
    <w:basedOn w:val="Normal"/>
    <w:rsid w:val="00D43D0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blurb">
    <w:name w:val="blurb"/>
    <w:basedOn w:val="Normal"/>
    <w:rsid w:val="00D43D0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D43D05"/>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blockquote">
    <w:name w:val="blockquote"/>
    <w:basedOn w:val="Normal"/>
    <w:rsid w:val="00D43D0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D43D05"/>
  </w:style>
  <w:style w:type="paragraph" w:customStyle="1" w:styleId="small">
    <w:name w:val="small"/>
    <w:basedOn w:val="Normal"/>
    <w:rsid w:val="00D43D0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D43D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756453">
      <w:bodyDiv w:val="1"/>
      <w:marLeft w:val="0"/>
      <w:marRight w:val="0"/>
      <w:marTop w:val="0"/>
      <w:marBottom w:val="0"/>
      <w:divBdr>
        <w:top w:val="none" w:sz="0" w:space="0" w:color="auto"/>
        <w:left w:val="none" w:sz="0" w:space="0" w:color="auto"/>
        <w:bottom w:val="none" w:sz="0" w:space="0" w:color="auto"/>
        <w:right w:val="none" w:sz="0" w:space="0" w:color="auto"/>
      </w:divBdr>
      <w:divsChild>
        <w:div w:id="628323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cd.org/publications/books/110019.aspx" TargetMode="External"/><Relationship Id="rId5" Type="http://schemas.openxmlformats.org/officeDocument/2006/relationships/hyperlink" Target="http://www.ascd.org/publications/books/107001.aspx" TargetMode="External"/><Relationship Id="rId4" Type="http://schemas.openxmlformats.org/officeDocument/2006/relationships/hyperlink" Target="http://www.ascd.org/Publications/Authors/Robert-Marzan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Ascholl</dc:creator>
  <cp:lastModifiedBy>paul-family</cp:lastModifiedBy>
  <cp:revision>2</cp:revision>
  <dcterms:created xsi:type="dcterms:W3CDTF">2016-07-18T15:27:00Z</dcterms:created>
  <dcterms:modified xsi:type="dcterms:W3CDTF">2016-07-18T15:27:00Z</dcterms:modified>
</cp:coreProperties>
</file>